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9B" w:rsidRDefault="00122F9B" w:rsidP="00122F9B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IDFont+F2"/>
          <w:b/>
        </w:rPr>
      </w:pPr>
    </w:p>
    <w:p w:rsidR="00122F9B" w:rsidRDefault="00122F9B" w:rsidP="00122F9B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IDFont+F2"/>
          <w:b/>
        </w:rPr>
      </w:pPr>
    </w:p>
    <w:p w:rsidR="00C11EBE" w:rsidRPr="00122F9B" w:rsidRDefault="00C11EBE" w:rsidP="00122F9B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IDFont+F2"/>
          <w:b/>
        </w:rPr>
      </w:pPr>
      <w:r w:rsidRPr="00122F9B">
        <w:rPr>
          <w:rFonts w:ascii="Verdana" w:hAnsi="Verdana" w:cs="CIDFont+F2"/>
          <w:b/>
        </w:rPr>
        <w:t>P</w:t>
      </w:r>
      <w:r w:rsidRPr="00122F9B">
        <w:rPr>
          <w:rFonts w:ascii="Verdana" w:hAnsi="Verdana" w:cs="CIDFont+F2"/>
          <w:b/>
        </w:rPr>
        <w:t>ROCEDIMIENTO GESTIÓN DEL PROGRAMA CAMPUS RURAL</w:t>
      </w:r>
    </w:p>
    <w:p w:rsidR="00C11EBE" w:rsidRPr="00122F9B" w:rsidRDefault="00C11EBE" w:rsidP="00122F9B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IDFont+F3"/>
        </w:rPr>
      </w:pPr>
      <w:r w:rsidRPr="00122F9B">
        <w:rPr>
          <w:rFonts w:ascii="Verdana" w:hAnsi="Verdana" w:cs="CIDFont+F3"/>
        </w:rPr>
        <w:t>1. Cada universidad recoge a través de un formulario las ofertas de prácticas que le llegan.</w:t>
      </w:r>
    </w:p>
    <w:p w:rsidR="00C11EBE" w:rsidRPr="00122F9B" w:rsidRDefault="00C11EBE" w:rsidP="00122F9B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IDFont+F3"/>
        </w:rPr>
      </w:pPr>
      <w:r w:rsidRPr="00122F9B">
        <w:rPr>
          <w:rFonts w:ascii="Verdana" w:hAnsi="Verdana" w:cs="CIDFont+F3"/>
        </w:rPr>
        <w:t>2. En el formulario la entidad deberá indicar, entre otros datos, si ofrece alojamiento al alumnado y</w:t>
      </w:r>
      <w:r w:rsidR="003F7405" w:rsidRPr="00122F9B">
        <w:rPr>
          <w:rFonts w:ascii="Verdana" w:hAnsi="Verdana" w:cs="CIDFont+F3"/>
        </w:rPr>
        <w:t xml:space="preserve"> </w:t>
      </w:r>
      <w:r w:rsidRPr="00122F9B">
        <w:rPr>
          <w:rFonts w:ascii="Verdana" w:hAnsi="Verdana" w:cs="CIDFont+F3"/>
        </w:rPr>
        <w:t>en qué condiciones. Además, deberá determinar el periodo de realización de las prácticas, si existe</w:t>
      </w:r>
      <w:r w:rsidR="003F7405" w:rsidRPr="00122F9B">
        <w:rPr>
          <w:rFonts w:ascii="Verdana" w:hAnsi="Verdana" w:cs="CIDFont+F3"/>
        </w:rPr>
        <w:t xml:space="preserve"> </w:t>
      </w:r>
      <w:r w:rsidRPr="00122F9B">
        <w:rPr>
          <w:rFonts w:ascii="Verdana" w:hAnsi="Verdana" w:cs="CIDFont+F3"/>
        </w:rPr>
        <w:t>flexibilidad o no en el mes de inicio y mes final y si existe algún mes que permanezca cerrado por</w:t>
      </w:r>
      <w:r w:rsidR="003F7405" w:rsidRPr="00122F9B">
        <w:rPr>
          <w:rFonts w:ascii="Verdana" w:hAnsi="Verdana" w:cs="CIDFont+F3"/>
        </w:rPr>
        <w:t xml:space="preserve"> </w:t>
      </w:r>
      <w:r w:rsidRPr="00122F9B">
        <w:rPr>
          <w:rFonts w:ascii="Verdana" w:hAnsi="Verdana" w:cs="CIDFont+F3"/>
        </w:rPr>
        <w:t>vacaciones, así como el número de horas semanales exigidas entre (30 y 35) y el horario de trabajo.</w:t>
      </w:r>
    </w:p>
    <w:p w:rsidR="00C11EBE" w:rsidRPr="00122F9B" w:rsidRDefault="00C11EBE" w:rsidP="00122F9B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IDFont+F3"/>
        </w:rPr>
      </w:pPr>
      <w:r w:rsidRPr="00122F9B">
        <w:rPr>
          <w:rFonts w:ascii="Verdana" w:hAnsi="Verdana" w:cs="CIDFont+F3"/>
        </w:rPr>
        <w:t>3. Las entidades presentarán sus ofertas en cualquier universidad, independientemente de la CC. AA</w:t>
      </w:r>
      <w:r w:rsidR="003F7405" w:rsidRPr="00122F9B">
        <w:rPr>
          <w:rFonts w:ascii="Verdana" w:hAnsi="Verdana" w:cs="CIDFont+F3"/>
        </w:rPr>
        <w:t xml:space="preserve"> </w:t>
      </w:r>
      <w:r w:rsidRPr="00122F9B">
        <w:rPr>
          <w:rFonts w:ascii="Verdana" w:hAnsi="Verdana" w:cs="CIDFont+F3"/>
        </w:rPr>
        <w:t>en donde se sitúe el municipio en el cual se va a realizar la práctica.</w:t>
      </w:r>
    </w:p>
    <w:p w:rsidR="00C11EBE" w:rsidRPr="00122F9B" w:rsidRDefault="00C11EBE" w:rsidP="00122F9B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IDFont+F3"/>
        </w:rPr>
      </w:pPr>
      <w:r w:rsidRPr="00122F9B">
        <w:rPr>
          <w:rFonts w:ascii="Verdana" w:hAnsi="Verdana" w:cs="CIDFont+F3"/>
        </w:rPr>
        <w:t>4. Cada entidad puede presentar varias ofertas de prácticas. Se debe cumplimentar un formulario</w:t>
      </w:r>
      <w:r w:rsidR="003F7405" w:rsidRPr="00122F9B">
        <w:rPr>
          <w:rFonts w:ascii="Verdana" w:hAnsi="Verdana" w:cs="CIDFont+F3"/>
        </w:rPr>
        <w:t xml:space="preserve"> </w:t>
      </w:r>
      <w:r w:rsidRPr="00122F9B">
        <w:rPr>
          <w:rFonts w:ascii="Verdana" w:hAnsi="Verdana" w:cs="CIDFont+F3"/>
        </w:rPr>
        <w:t>independiente para cada oferta. Cada oferta puede incluir a estudiantes de varias titulaciones</w:t>
      </w:r>
      <w:r w:rsidR="003F7405" w:rsidRPr="00122F9B">
        <w:rPr>
          <w:rFonts w:ascii="Verdana" w:hAnsi="Verdana" w:cs="CIDFont+F3"/>
        </w:rPr>
        <w:t xml:space="preserve"> </w:t>
      </w:r>
      <w:r w:rsidRPr="00122F9B">
        <w:rPr>
          <w:rFonts w:ascii="Verdana" w:hAnsi="Verdana" w:cs="CIDFont+F3"/>
        </w:rPr>
        <w:t>(máximo 5).</w:t>
      </w:r>
    </w:p>
    <w:p w:rsidR="00C11EBE" w:rsidRPr="00122F9B" w:rsidRDefault="00C11EBE" w:rsidP="00122F9B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IDFont+F3"/>
        </w:rPr>
      </w:pPr>
      <w:r w:rsidRPr="00122F9B">
        <w:rPr>
          <w:rFonts w:ascii="Verdana" w:hAnsi="Verdana" w:cs="CIDFont+F3"/>
        </w:rPr>
        <w:t>5. La universidad preselecciona un máximo de 30 ofertas de prácticas de acuerdo con los criterios que</w:t>
      </w:r>
      <w:r w:rsidR="003F7405" w:rsidRPr="00122F9B">
        <w:rPr>
          <w:rFonts w:ascii="Verdana" w:hAnsi="Verdana" w:cs="CIDFont+F3"/>
        </w:rPr>
        <w:t xml:space="preserve"> </w:t>
      </w:r>
      <w:r w:rsidRPr="00122F9B">
        <w:rPr>
          <w:rFonts w:ascii="Verdana" w:hAnsi="Verdana" w:cs="CIDFont+F3"/>
        </w:rPr>
        <w:t>se especifican en la guía del programa Campus Rural.</w:t>
      </w:r>
    </w:p>
    <w:p w:rsidR="00C11EBE" w:rsidRPr="00122F9B" w:rsidRDefault="00C11EBE" w:rsidP="00122F9B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IDFont+F3"/>
        </w:rPr>
      </w:pPr>
      <w:r w:rsidRPr="00122F9B">
        <w:rPr>
          <w:rFonts w:ascii="Verdana" w:hAnsi="Verdana" w:cs="CIDFont+F3"/>
        </w:rPr>
        <w:t>6. La universidad comunica su inclusión en el Programa Campus Rural a las entidades que han sido</w:t>
      </w:r>
      <w:r w:rsidR="003F7405" w:rsidRPr="00122F9B">
        <w:rPr>
          <w:rFonts w:ascii="Verdana" w:hAnsi="Verdana" w:cs="CIDFont+F3"/>
        </w:rPr>
        <w:t xml:space="preserve"> </w:t>
      </w:r>
      <w:r w:rsidRPr="00122F9B">
        <w:rPr>
          <w:rFonts w:ascii="Verdana" w:hAnsi="Verdana" w:cs="CIDFont+F3"/>
        </w:rPr>
        <w:t>seleccionadas.</w:t>
      </w:r>
    </w:p>
    <w:p w:rsidR="00C11EBE" w:rsidRPr="00122F9B" w:rsidRDefault="00C11EBE" w:rsidP="00122F9B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IDFont+F6"/>
        </w:rPr>
      </w:pPr>
      <w:r w:rsidRPr="00122F9B">
        <w:rPr>
          <w:rFonts w:ascii="Verdana" w:hAnsi="Verdana" w:cs="CIDFont+F3"/>
        </w:rPr>
        <w:t>7. Las ofertas de prácticas deberán ser de 3 meses, ampliables hasta 5 meses a solicitud de la entidad,</w:t>
      </w:r>
      <w:r w:rsidR="003F7405" w:rsidRPr="00122F9B">
        <w:rPr>
          <w:rFonts w:ascii="Verdana" w:hAnsi="Verdana" w:cs="CIDFont+F3"/>
        </w:rPr>
        <w:t xml:space="preserve"> </w:t>
      </w:r>
      <w:r w:rsidRPr="00122F9B">
        <w:rPr>
          <w:rFonts w:ascii="Verdana" w:hAnsi="Verdana" w:cs="CIDFont+F3"/>
        </w:rPr>
        <w:t xml:space="preserve">en </w:t>
      </w:r>
      <w:r w:rsidRPr="00122F9B">
        <w:rPr>
          <w:rFonts w:ascii="Verdana" w:hAnsi="Verdana" w:cs="CIDFont+F2"/>
        </w:rPr>
        <w:t>casos muy justificados.</w:t>
      </w:r>
    </w:p>
    <w:p w:rsidR="00C11EBE" w:rsidRPr="00122F9B" w:rsidRDefault="00C11EBE" w:rsidP="00122F9B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IDFont+F6"/>
        </w:rPr>
      </w:pPr>
    </w:p>
    <w:p w:rsidR="00122F9B" w:rsidRDefault="00122F9B" w:rsidP="00122F9B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IDFont+F6"/>
        </w:rPr>
      </w:pPr>
    </w:p>
    <w:p w:rsidR="00122F9B" w:rsidRDefault="00122F9B">
      <w:pPr>
        <w:rPr>
          <w:rFonts w:ascii="Verdana" w:hAnsi="Verdana" w:cs="CIDFont+F6"/>
        </w:rPr>
      </w:pPr>
      <w:r>
        <w:rPr>
          <w:rFonts w:ascii="Verdana" w:hAnsi="Verdana" w:cs="CIDFont+F6"/>
        </w:rPr>
        <w:br w:type="page"/>
      </w:r>
    </w:p>
    <w:p w:rsidR="00C11EBE" w:rsidRPr="00122F9B" w:rsidRDefault="00122F9B" w:rsidP="00122F9B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IDFont+F6"/>
          <w:b/>
        </w:rPr>
      </w:pPr>
      <w:r w:rsidRPr="00122F9B">
        <w:rPr>
          <w:rFonts w:ascii="Verdana" w:hAnsi="Verdana" w:cs="CIDFont+F6"/>
          <w:b/>
        </w:rPr>
        <w:lastRenderedPageBreak/>
        <w:t>PROCEDIMIENTO DE CAMPUS RURAL</w:t>
      </w:r>
    </w:p>
    <w:p w:rsidR="00122F9B" w:rsidRDefault="00122F9B" w:rsidP="00122F9B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IDFont+F6"/>
          <w:b/>
        </w:rPr>
      </w:pPr>
      <w:bookmarkStart w:id="0" w:name="_GoBack"/>
      <w:r w:rsidRPr="00122F9B">
        <w:rPr>
          <w:rFonts w:ascii="Verdana" w:hAnsi="Verdana" w:cs="CIDFont+F6"/>
          <w:b/>
        </w:rPr>
        <w:drawing>
          <wp:inline distT="0" distB="0" distL="0" distR="0" wp14:anchorId="79C3E12D" wp14:editId="78088F58">
            <wp:extent cx="5400040" cy="2977515"/>
            <wp:effectExtent l="0" t="0" r="2921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  <w:r>
        <w:rPr>
          <w:rFonts w:ascii="Verdana" w:hAnsi="Verdana" w:cs="CIDFont+F6"/>
          <w:b/>
          <w:noProof/>
        </w:rPr>
        <w:drawing>
          <wp:inline distT="0" distB="0" distL="0" distR="0" wp14:anchorId="313101AC">
            <wp:extent cx="5365546" cy="1126856"/>
            <wp:effectExtent l="0" t="0" r="0" b="0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367" cy="1128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2F9B" w:rsidRDefault="00122F9B" w:rsidP="00122F9B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IDFont+F6"/>
          <w:b/>
        </w:rPr>
      </w:pPr>
    </w:p>
    <w:p w:rsidR="00122F9B" w:rsidRDefault="00122F9B" w:rsidP="00122F9B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IDFont+F6"/>
          <w:b/>
        </w:rPr>
      </w:pPr>
      <w:r w:rsidRPr="00122F9B">
        <w:rPr>
          <w:rFonts w:ascii="Verdana" w:hAnsi="Verdana" w:cs="CIDFont+F6"/>
          <w:b/>
        </w:rPr>
        <w:t>MUNICIPIOS ELEGIBLES PARA EL PROGRAMA CAMPUS RURAL</w:t>
      </w:r>
    </w:p>
    <w:p w:rsidR="003F7405" w:rsidRDefault="00C11EBE" w:rsidP="00122F9B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IDFont+F2"/>
        </w:rPr>
      </w:pPr>
      <w:r w:rsidRPr="00122F9B">
        <w:rPr>
          <w:rFonts w:ascii="Verdana" w:hAnsi="Verdana" w:cs="CIDFont+F6"/>
        </w:rPr>
        <w:t>El Programa se dirige a Organizaciones o Asociaciones que trabajen en el territorio y se</w:t>
      </w:r>
      <w:r w:rsidR="003F7405" w:rsidRPr="00122F9B">
        <w:rPr>
          <w:rFonts w:ascii="Verdana" w:hAnsi="Verdana" w:cs="CIDFont+F6"/>
        </w:rPr>
        <w:t xml:space="preserve"> </w:t>
      </w:r>
      <w:r w:rsidRPr="00122F9B">
        <w:rPr>
          <w:rFonts w:ascii="Verdana" w:hAnsi="Verdana" w:cs="CIDFont+F6"/>
        </w:rPr>
        <w:t xml:space="preserve">encuentren en municipios de </w:t>
      </w:r>
      <w:r w:rsidRPr="00122F9B">
        <w:rPr>
          <w:rFonts w:ascii="Verdana" w:hAnsi="Verdana" w:cs="CIDFont+F2"/>
        </w:rPr>
        <w:t>menos de 5.000 habitantes</w:t>
      </w:r>
      <w:r w:rsidR="003F7405" w:rsidRPr="00122F9B">
        <w:rPr>
          <w:rFonts w:ascii="Verdana" w:hAnsi="Verdana" w:cs="CIDFont+F2"/>
        </w:rPr>
        <w:t>.</w:t>
      </w:r>
    </w:p>
    <w:p w:rsidR="00122F9B" w:rsidRPr="00122F9B" w:rsidRDefault="00122F9B" w:rsidP="00122F9B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IDFont+F2"/>
        </w:rPr>
      </w:pPr>
    </w:p>
    <w:p w:rsidR="00C11EBE" w:rsidRPr="00122F9B" w:rsidRDefault="00122F9B" w:rsidP="00122F9B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IDFont+F6"/>
          <w:b/>
        </w:rPr>
      </w:pPr>
      <w:r w:rsidRPr="00122F9B">
        <w:rPr>
          <w:rFonts w:ascii="Verdana" w:hAnsi="Verdana" w:cs="CIDFont+F6"/>
          <w:b/>
        </w:rPr>
        <w:t>REQUISITOS PARA LAS ENTIDADES:</w:t>
      </w:r>
    </w:p>
    <w:p w:rsidR="00C11EBE" w:rsidRPr="00122F9B" w:rsidRDefault="00C11EBE" w:rsidP="00122F9B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IDFont+F6"/>
        </w:rPr>
      </w:pPr>
      <w:r w:rsidRPr="00122F9B">
        <w:rPr>
          <w:rFonts w:ascii="Verdana" w:hAnsi="Verdana" w:cs="CIDFont+F6"/>
        </w:rPr>
        <w:t>I. Las entidades pueden presentar más de una oferta, indicando los perfiles requeridos</w:t>
      </w:r>
      <w:r w:rsidR="003F7405" w:rsidRPr="00122F9B">
        <w:rPr>
          <w:rFonts w:ascii="Verdana" w:hAnsi="Verdana" w:cs="CIDFont+F6"/>
        </w:rPr>
        <w:t xml:space="preserve"> </w:t>
      </w:r>
      <w:r w:rsidRPr="00122F9B">
        <w:rPr>
          <w:rFonts w:ascii="Verdana" w:hAnsi="Verdana" w:cs="CIDFont+F6"/>
        </w:rPr>
        <w:t>en cada una de ellas (Se pueden establecer hasta un máximo 5 titulaciones</w:t>
      </w:r>
      <w:r w:rsidR="003F7405" w:rsidRPr="00122F9B">
        <w:rPr>
          <w:rFonts w:ascii="Verdana" w:hAnsi="Verdana" w:cs="CIDFont+F6"/>
        </w:rPr>
        <w:t xml:space="preserve"> </w:t>
      </w:r>
      <w:r w:rsidRPr="00122F9B">
        <w:rPr>
          <w:rFonts w:ascii="Verdana" w:hAnsi="Verdana" w:cs="CIDFont+F6"/>
        </w:rPr>
        <w:t>relacionadas con el perfil que se busca).</w:t>
      </w:r>
    </w:p>
    <w:p w:rsidR="00C11EBE" w:rsidRPr="00122F9B" w:rsidRDefault="00C11EBE" w:rsidP="00122F9B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IDFont+F6"/>
        </w:rPr>
      </w:pPr>
      <w:r w:rsidRPr="00122F9B">
        <w:rPr>
          <w:rFonts w:ascii="Verdana" w:hAnsi="Verdana" w:cs="CIDFont+F6"/>
        </w:rPr>
        <w:t>II. Las prácticas ofertadas se deben poder realizar en un periodo mínimo de 3 meses,</w:t>
      </w:r>
      <w:r w:rsidR="003F7405" w:rsidRPr="00122F9B">
        <w:rPr>
          <w:rFonts w:ascii="Verdana" w:hAnsi="Verdana" w:cs="CIDFont+F6"/>
        </w:rPr>
        <w:t xml:space="preserve"> </w:t>
      </w:r>
      <w:r w:rsidRPr="00122F9B">
        <w:rPr>
          <w:rFonts w:ascii="Verdana" w:hAnsi="Verdana" w:cs="CIDFont+F6"/>
        </w:rPr>
        <w:t>extensible hasta 5 meses en casos justificados, comprendido entre el 1 de junio y el 31</w:t>
      </w:r>
      <w:r w:rsidR="003F7405" w:rsidRPr="00122F9B">
        <w:rPr>
          <w:rFonts w:ascii="Verdana" w:hAnsi="Verdana" w:cs="CIDFont+F6"/>
        </w:rPr>
        <w:t xml:space="preserve"> </w:t>
      </w:r>
      <w:r w:rsidRPr="00122F9B">
        <w:rPr>
          <w:rFonts w:ascii="Verdana" w:hAnsi="Verdana" w:cs="CIDFont+F6"/>
        </w:rPr>
        <w:t>de octubre de 2022.</w:t>
      </w:r>
    </w:p>
    <w:p w:rsidR="00C11EBE" w:rsidRPr="00122F9B" w:rsidRDefault="00C11EBE" w:rsidP="00122F9B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IDFont+F6"/>
        </w:rPr>
      </w:pPr>
      <w:r w:rsidRPr="00122F9B">
        <w:rPr>
          <w:rFonts w:ascii="Verdana" w:hAnsi="Verdana" w:cs="CIDFont+F6"/>
        </w:rPr>
        <w:lastRenderedPageBreak/>
        <w:t xml:space="preserve">Las universidades realizarán la selección de las prácticas. Entre los </w:t>
      </w:r>
      <w:r w:rsidRPr="00122F9B">
        <w:rPr>
          <w:rFonts w:ascii="Verdana" w:hAnsi="Verdana" w:cs="CIDFont+F2"/>
        </w:rPr>
        <w:t>criterios que pueden</w:t>
      </w:r>
      <w:r w:rsidR="003F7405" w:rsidRPr="00122F9B">
        <w:rPr>
          <w:rFonts w:ascii="Verdana" w:hAnsi="Verdana" w:cs="CIDFont+F2"/>
        </w:rPr>
        <w:t xml:space="preserve"> </w:t>
      </w:r>
      <w:r w:rsidRPr="00122F9B">
        <w:rPr>
          <w:rFonts w:ascii="Verdana" w:hAnsi="Verdana" w:cs="CIDFont+F2"/>
        </w:rPr>
        <w:t xml:space="preserve">establecerse, </w:t>
      </w:r>
      <w:r w:rsidRPr="00122F9B">
        <w:rPr>
          <w:rFonts w:ascii="Verdana" w:hAnsi="Verdana" w:cs="CIDFont+F6"/>
        </w:rPr>
        <w:t>se dará prioridad a las siguientes propuestas:</w:t>
      </w:r>
      <w:r w:rsidR="003F7405" w:rsidRPr="00122F9B">
        <w:rPr>
          <w:rFonts w:ascii="Verdana" w:hAnsi="Verdana" w:cs="CIDFont+F6"/>
        </w:rPr>
        <w:t xml:space="preserve"> </w:t>
      </w:r>
      <w:r w:rsidRPr="00122F9B">
        <w:rPr>
          <w:rFonts w:ascii="Verdana" w:hAnsi="Verdana" w:cs="CIDFont+F6"/>
        </w:rPr>
        <w:t>Entidades que:</w:t>
      </w:r>
    </w:p>
    <w:p w:rsidR="00C11EBE" w:rsidRPr="00122F9B" w:rsidRDefault="00C11EBE" w:rsidP="00122F9B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IDFont+F6"/>
        </w:rPr>
      </w:pPr>
      <w:r w:rsidRPr="00122F9B">
        <w:rPr>
          <w:rFonts w:ascii="Verdana" w:hAnsi="Verdana" w:cs="CIDFont+F6"/>
        </w:rPr>
        <w:t>I. Provengan de instituciones públicas, como queda reflejado en el Convenio firmado</w:t>
      </w:r>
      <w:r w:rsidR="003F7405" w:rsidRPr="00122F9B">
        <w:rPr>
          <w:rFonts w:ascii="Verdana" w:hAnsi="Verdana" w:cs="CIDFont+F6"/>
        </w:rPr>
        <w:t xml:space="preserve"> </w:t>
      </w:r>
      <w:r w:rsidRPr="00122F9B">
        <w:rPr>
          <w:rFonts w:ascii="Verdana" w:hAnsi="Verdana" w:cs="CIDFont+F6"/>
        </w:rPr>
        <w:t>entre el Ministerio para la Transición Ecológica y el Reto Demográfico, el Ministerio</w:t>
      </w:r>
      <w:r w:rsidR="003F7405" w:rsidRPr="00122F9B">
        <w:rPr>
          <w:rFonts w:ascii="Verdana" w:hAnsi="Verdana" w:cs="CIDFont+F6"/>
        </w:rPr>
        <w:t xml:space="preserve"> </w:t>
      </w:r>
      <w:r w:rsidRPr="00122F9B">
        <w:rPr>
          <w:rFonts w:ascii="Verdana" w:hAnsi="Verdana" w:cs="CIDFont+F6"/>
        </w:rPr>
        <w:t>de Universidades y Crue Universidades Españolas para el desarrollo y la coordinación</w:t>
      </w:r>
      <w:r w:rsidR="003F7405" w:rsidRPr="00122F9B">
        <w:rPr>
          <w:rFonts w:ascii="Verdana" w:hAnsi="Verdana" w:cs="CIDFont+F6"/>
        </w:rPr>
        <w:t xml:space="preserve"> </w:t>
      </w:r>
      <w:r w:rsidRPr="00122F9B">
        <w:rPr>
          <w:rFonts w:ascii="Verdana" w:hAnsi="Verdana" w:cs="CIDFont+F6"/>
        </w:rPr>
        <w:t>del programa campus rural de prácticas universitarias en el medio rural.</w:t>
      </w:r>
    </w:p>
    <w:p w:rsidR="00C11EBE" w:rsidRPr="00122F9B" w:rsidRDefault="00C11EBE" w:rsidP="00122F9B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IDFont+F6"/>
        </w:rPr>
      </w:pPr>
      <w:r w:rsidRPr="00122F9B">
        <w:rPr>
          <w:rFonts w:ascii="Verdana" w:hAnsi="Verdana" w:cs="CIDFont+F6"/>
        </w:rPr>
        <w:t>II. Su oferta plantee una solución habitacional de residencia para el alumno durante el</w:t>
      </w:r>
      <w:r w:rsidR="003F7405" w:rsidRPr="00122F9B">
        <w:rPr>
          <w:rFonts w:ascii="Verdana" w:hAnsi="Verdana" w:cs="CIDFont+F6"/>
        </w:rPr>
        <w:t xml:space="preserve"> </w:t>
      </w:r>
      <w:r w:rsidRPr="00122F9B">
        <w:rPr>
          <w:rFonts w:ascii="Verdana" w:hAnsi="Verdana" w:cs="CIDFont+F6"/>
        </w:rPr>
        <w:t>periodo de la práctica.</w:t>
      </w:r>
    </w:p>
    <w:p w:rsidR="00C11EBE" w:rsidRPr="00122F9B" w:rsidRDefault="00C11EBE" w:rsidP="00122F9B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IDFont+F6"/>
        </w:rPr>
      </w:pPr>
      <w:r w:rsidRPr="00122F9B">
        <w:rPr>
          <w:rFonts w:ascii="Verdana" w:hAnsi="Verdana" w:cs="CIDFont+F6"/>
        </w:rPr>
        <w:t>III. Que presente la oferta por una universidad de una CCAA distinta de donde se ubique</w:t>
      </w:r>
      <w:r w:rsidR="003F7405" w:rsidRPr="00122F9B">
        <w:rPr>
          <w:rFonts w:ascii="Verdana" w:hAnsi="Verdana" w:cs="CIDFont+F6"/>
        </w:rPr>
        <w:t xml:space="preserve"> </w:t>
      </w:r>
      <w:r w:rsidRPr="00122F9B">
        <w:rPr>
          <w:rFonts w:ascii="Verdana" w:hAnsi="Verdana" w:cs="CIDFont+F6"/>
        </w:rPr>
        <w:t>el municipio donde se va a desarrollar la práctica</w:t>
      </w:r>
    </w:p>
    <w:p w:rsidR="00C11EBE" w:rsidRPr="00122F9B" w:rsidRDefault="00C11EBE" w:rsidP="00122F9B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IDFont+F6"/>
        </w:rPr>
      </w:pPr>
      <w:r w:rsidRPr="00122F9B">
        <w:rPr>
          <w:rFonts w:ascii="Verdana" w:hAnsi="Verdana" w:cs="CIDFont+F6"/>
        </w:rPr>
        <w:t>IV. Cuyas prácticas estén vinculadas a acciones contempladas en el Plan de</w:t>
      </w:r>
      <w:r w:rsidR="003F7405" w:rsidRPr="00122F9B">
        <w:rPr>
          <w:rFonts w:ascii="Verdana" w:hAnsi="Verdana" w:cs="CIDFont+F6"/>
        </w:rPr>
        <w:t xml:space="preserve"> </w:t>
      </w:r>
      <w:r w:rsidRPr="00122F9B">
        <w:rPr>
          <w:rFonts w:ascii="Verdana" w:hAnsi="Verdana" w:cs="CIDFont+F6"/>
        </w:rPr>
        <w:t>Recuperación, Transformación y Resiliencia, o en el Plan 130 Medidas frente al Reto</w:t>
      </w:r>
      <w:r w:rsidR="003F7405" w:rsidRPr="00122F9B">
        <w:rPr>
          <w:rFonts w:ascii="Verdana" w:hAnsi="Verdana" w:cs="CIDFont+F6"/>
        </w:rPr>
        <w:t xml:space="preserve"> </w:t>
      </w:r>
      <w:r w:rsidRPr="00122F9B">
        <w:rPr>
          <w:rFonts w:ascii="Verdana" w:hAnsi="Verdana" w:cs="CIDFont+F6"/>
        </w:rPr>
        <w:t>Demográfico.</w:t>
      </w:r>
    </w:p>
    <w:p w:rsidR="00C11EBE" w:rsidRPr="00122F9B" w:rsidRDefault="00C11EBE" w:rsidP="00122F9B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IDFont+F6"/>
        </w:rPr>
      </w:pPr>
      <w:r w:rsidRPr="00122F9B">
        <w:rPr>
          <w:rFonts w:ascii="Verdana" w:hAnsi="Verdana" w:cs="CIDFont+F6"/>
        </w:rPr>
        <w:t>V. Cuyas prácticas demuestren un impulso de la digitalización en el entorno local en el</w:t>
      </w:r>
      <w:r w:rsidR="003F7405" w:rsidRPr="00122F9B">
        <w:rPr>
          <w:rFonts w:ascii="Verdana" w:hAnsi="Verdana" w:cs="CIDFont+F6"/>
        </w:rPr>
        <w:t xml:space="preserve"> </w:t>
      </w:r>
      <w:r w:rsidRPr="00122F9B">
        <w:rPr>
          <w:rFonts w:ascii="Verdana" w:hAnsi="Verdana" w:cs="CIDFont+F6"/>
        </w:rPr>
        <w:t>que se desarrolla (hacia la administración, las empresas o la población).</w:t>
      </w:r>
    </w:p>
    <w:p w:rsidR="00C11EBE" w:rsidRPr="00122F9B" w:rsidRDefault="00C11EBE" w:rsidP="00122F9B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IDFont+F6"/>
        </w:rPr>
      </w:pPr>
      <w:r w:rsidRPr="00122F9B">
        <w:rPr>
          <w:rFonts w:ascii="Verdana" w:hAnsi="Verdana" w:cs="CIDFont+F6"/>
        </w:rPr>
        <w:t>VI. Cuyas prácticas tengan en cuenta la perspectiva de género.</w:t>
      </w:r>
    </w:p>
    <w:p w:rsidR="00C11EBE" w:rsidRPr="00122F9B" w:rsidRDefault="00C11EBE" w:rsidP="00122F9B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IDFont+F6"/>
        </w:rPr>
      </w:pPr>
      <w:r w:rsidRPr="00122F9B">
        <w:rPr>
          <w:rFonts w:ascii="Verdana" w:hAnsi="Verdana" w:cs="CIDFont+F6"/>
        </w:rPr>
        <w:t>La elección de las entidades que finalmente reciban algún estudiante en prácticas, de entre</w:t>
      </w:r>
      <w:r w:rsidR="003F7405" w:rsidRPr="00122F9B">
        <w:rPr>
          <w:rFonts w:ascii="Verdana" w:hAnsi="Verdana" w:cs="CIDFont+F6"/>
        </w:rPr>
        <w:t xml:space="preserve"> </w:t>
      </w:r>
      <w:r w:rsidRPr="00122F9B">
        <w:rPr>
          <w:rFonts w:ascii="Verdana" w:hAnsi="Verdana" w:cs="CIDFont+F6"/>
        </w:rPr>
        <w:t>las seleccionadas por las universidades para participar en el programa, vendrá determinada</w:t>
      </w:r>
      <w:r w:rsidR="003F7405" w:rsidRPr="00122F9B">
        <w:rPr>
          <w:rFonts w:ascii="Verdana" w:hAnsi="Verdana" w:cs="CIDFont+F6"/>
        </w:rPr>
        <w:t xml:space="preserve"> </w:t>
      </w:r>
      <w:r w:rsidRPr="00122F9B">
        <w:rPr>
          <w:rFonts w:ascii="Verdana" w:hAnsi="Verdana" w:cs="CIDFont+F6"/>
        </w:rPr>
        <w:t>por el orden de prelación establecido para la asignación de estudiantes. Ver apartado 3.4.</w:t>
      </w:r>
    </w:p>
    <w:p w:rsidR="00122F9B" w:rsidRDefault="00122F9B" w:rsidP="00122F9B">
      <w:pPr>
        <w:spacing w:after="120" w:line="360" w:lineRule="auto"/>
        <w:jc w:val="both"/>
        <w:rPr>
          <w:rFonts w:ascii="Verdana" w:hAnsi="Verdana"/>
          <w:b/>
        </w:rPr>
      </w:pPr>
    </w:p>
    <w:p w:rsidR="00C11EBE" w:rsidRPr="00122F9B" w:rsidRDefault="00122F9B" w:rsidP="00122F9B">
      <w:pPr>
        <w:spacing w:after="120" w:line="360" w:lineRule="auto"/>
        <w:jc w:val="both"/>
        <w:rPr>
          <w:rFonts w:ascii="Verdana" w:hAnsi="Verdana"/>
          <w:b/>
        </w:rPr>
      </w:pPr>
      <w:r w:rsidRPr="00122F9B">
        <w:rPr>
          <w:rFonts w:ascii="Verdana" w:hAnsi="Verdana"/>
          <w:b/>
        </w:rPr>
        <w:t>CRITERIO DE SELECCIÓN DE LAS ENTIDADES</w:t>
      </w:r>
    </w:p>
    <w:p w:rsidR="00C11EBE" w:rsidRPr="00122F9B" w:rsidRDefault="00122F9B" w:rsidP="00122F9B">
      <w:pPr>
        <w:spacing w:after="120" w:line="360" w:lineRule="auto"/>
        <w:jc w:val="both"/>
        <w:rPr>
          <w:rFonts w:ascii="Verdana" w:hAnsi="Verdana"/>
        </w:rPr>
      </w:pPr>
      <w:r>
        <w:rPr>
          <w:noProof/>
        </w:rPr>
        <w:drawing>
          <wp:inline distT="0" distB="0" distL="0" distR="0" wp14:anchorId="4F740492" wp14:editId="0F4B9638">
            <wp:extent cx="6280603" cy="1285336"/>
            <wp:effectExtent l="0" t="0" r="6350" b="0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454"/>
                    <a:stretch/>
                  </pic:blipFill>
                  <pic:spPr bwMode="auto">
                    <a:xfrm>
                      <a:off x="0" y="0"/>
                      <a:ext cx="6329900" cy="12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1EBE" w:rsidRPr="00122F9B" w:rsidSect="00122F9B">
      <w:headerReference w:type="default" r:id="rId13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864" w:rsidRDefault="005A6864" w:rsidP="007162C8">
      <w:pPr>
        <w:spacing w:after="0" w:line="240" w:lineRule="auto"/>
      </w:pPr>
      <w:r>
        <w:separator/>
      </w:r>
    </w:p>
  </w:endnote>
  <w:endnote w:type="continuationSeparator" w:id="0">
    <w:p w:rsidR="005A6864" w:rsidRDefault="005A6864" w:rsidP="0071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864" w:rsidRDefault="005A6864" w:rsidP="007162C8">
      <w:pPr>
        <w:spacing w:after="0" w:line="240" w:lineRule="auto"/>
      </w:pPr>
      <w:r>
        <w:separator/>
      </w:r>
    </w:p>
  </w:footnote>
  <w:footnote w:type="continuationSeparator" w:id="0">
    <w:p w:rsidR="005A6864" w:rsidRDefault="005A6864" w:rsidP="0071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2C8" w:rsidRDefault="007162C8">
    <w:pPr>
      <w:pStyle w:val="Encabezado"/>
    </w:pPr>
    <w:r w:rsidRPr="007162C8">
      <w:drawing>
        <wp:anchor distT="0" distB="0" distL="114300" distR="114300" simplePos="0" relativeHeight="251660288" behindDoc="0" locked="0" layoutInCell="1" allowOverlap="1" wp14:anchorId="43F45102" wp14:editId="7525EFFC">
          <wp:simplePos x="0" y="0"/>
          <wp:positionH relativeFrom="leftMargin">
            <wp:posOffset>465646</wp:posOffset>
          </wp:positionH>
          <wp:positionV relativeFrom="paragraph">
            <wp:posOffset>-250981</wp:posOffset>
          </wp:positionV>
          <wp:extent cx="785003" cy="577970"/>
          <wp:effectExtent l="0" t="0" r="0" b="0"/>
          <wp:wrapNone/>
          <wp:docPr id="98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03" cy="57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62C8">
      <w:drawing>
        <wp:anchor distT="0" distB="0" distL="114300" distR="114300" simplePos="0" relativeHeight="251661312" behindDoc="0" locked="0" layoutInCell="1" allowOverlap="1" wp14:anchorId="4E35E420" wp14:editId="047D7400">
          <wp:simplePos x="0" y="0"/>
          <wp:positionH relativeFrom="column">
            <wp:posOffset>472033</wp:posOffset>
          </wp:positionH>
          <wp:positionV relativeFrom="paragraph">
            <wp:posOffset>-233908</wp:posOffset>
          </wp:positionV>
          <wp:extent cx="1039003" cy="491742"/>
          <wp:effectExtent l="0" t="0" r="8890" b="3810"/>
          <wp:wrapNone/>
          <wp:docPr id="99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003" cy="491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62C8">
      <w:drawing>
        <wp:anchor distT="0" distB="0" distL="114300" distR="114300" simplePos="0" relativeHeight="251662336" behindDoc="0" locked="0" layoutInCell="1" allowOverlap="1" wp14:anchorId="7FBA9449" wp14:editId="33D7B420">
          <wp:simplePos x="0" y="0"/>
          <wp:positionH relativeFrom="column">
            <wp:posOffset>1869644</wp:posOffset>
          </wp:positionH>
          <wp:positionV relativeFrom="paragraph">
            <wp:posOffset>-208663</wp:posOffset>
          </wp:positionV>
          <wp:extent cx="1457864" cy="423026"/>
          <wp:effectExtent l="0" t="0" r="9525" b="0"/>
          <wp:wrapNone/>
          <wp:docPr id="100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864" cy="423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62C8"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3664226</wp:posOffset>
          </wp:positionH>
          <wp:positionV relativeFrom="paragraph">
            <wp:posOffset>-215804</wp:posOffset>
          </wp:positionV>
          <wp:extent cx="2682803" cy="405441"/>
          <wp:effectExtent l="0" t="0" r="3810" b="0"/>
          <wp:wrapNone/>
          <wp:docPr id="10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803" cy="405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62C8">
      <w:drawing>
        <wp:anchor distT="0" distB="0" distL="114300" distR="114300" simplePos="0" relativeHeight="251659264" behindDoc="0" locked="0" layoutInCell="1" allowOverlap="1" wp14:anchorId="4C876EFC" wp14:editId="02B98827">
          <wp:simplePos x="0" y="0"/>
          <wp:positionH relativeFrom="column">
            <wp:posOffset>7059295</wp:posOffset>
          </wp:positionH>
          <wp:positionV relativeFrom="paragraph">
            <wp:posOffset>189865</wp:posOffset>
          </wp:positionV>
          <wp:extent cx="4405630" cy="666750"/>
          <wp:effectExtent l="0" t="0" r="0" b="0"/>
          <wp:wrapNone/>
          <wp:docPr id="102" name="Imagen 1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563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BE"/>
    <w:rsid w:val="00122F9B"/>
    <w:rsid w:val="00133044"/>
    <w:rsid w:val="001B0A93"/>
    <w:rsid w:val="003F7405"/>
    <w:rsid w:val="005A6864"/>
    <w:rsid w:val="005C74D0"/>
    <w:rsid w:val="007162C8"/>
    <w:rsid w:val="00856268"/>
    <w:rsid w:val="00C1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BB809"/>
  <w15:chartTrackingRefBased/>
  <w15:docId w15:val="{0737BB46-9C8D-475D-A924-DAAB4388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C74D0"/>
    <w:pPr>
      <w:spacing w:before="360" w:after="120" w:line="276" w:lineRule="auto"/>
      <w:jc w:val="center"/>
      <w:outlineLvl w:val="0"/>
    </w:pPr>
    <w:rPr>
      <w:rFonts w:ascii="Calibri" w:eastAsia="Times New Roman" w:hAnsi="Calibri" w:cs="Times New Roman"/>
      <w:b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5C74D0"/>
    <w:pPr>
      <w:keepNext/>
      <w:spacing w:before="360" w:after="120" w:line="276" w:lineRule="auto"/>
      <w:ind w:firstLine="709"/>
      <w:jc w:val="both"/>
      <w:outlineLvl w:val="1"/>
    </w:pPr>
    <w:rPr>
      <w:rFonts w:ascii="Calibri" w:eastAsia="Times New Roman" w:hAnsi="Calibri" w:cs="Times New Roman"/>
      <w:b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5C74D0"/>
    <w:rPr>
      <w:rFonts w:ascii="Calibri" w:eastAsia="Times New Roman" w:hAnsi="Calibri" w:cs="Times New Roman"/>
      <w:b/>
      <w:sz w:val="24"/>
      <w:szCs w:val="24"/>
      <w:lang w:eastAsia="en-US"/>
    </w:rPr>
  </w:style>
  <w:style w:type="character" w:customStyle="1" w:styleId="Ttulo2Car">
    <w:name w:val="Título 2 Car"/>
    <w:link w:val="Ttulo2"/>
    <w:rsid w:val="005C74D0"/>
    <w:rPr>
      <w:rFonts w:ascii="Calibri" w:eastAsia="Times New Roman" w:hAnsi="Calibri" w:cs="Times New Roman"/>
      <w:b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162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62C8"/>
  </w:style>
  <w:style w:type="paragraph" w:styleId="Piedepgina">
    <w:name w:val="footer"/>
    <w:basedOn w:val="Normal"/>
    <w:link w:val="PiedepginaCar"/>
    <w:uiPriority w:val="99"/>
    <w:unhideWhenUsed/>
    <w:rsid w:val="007162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E11F5D-5504-4B16-AD16-93CA54B079BE}" type="doc">
      <dgm:prSet loTypeId="urn:microsoft.com/office/officeart/2005/8/layout/hProcess9" loCatId="process" qsTypeId="urn:microsoft.com/office/officeart/2005/8/quickstyle/simple1" qsCatId="simple" csTypeId="urn:microsoft.com/office/officeart/2005/8/colors/colorful3" csCatId="colorful" phldr="1"/>
      <dgm:spPr/>
    </dgm:pt>
    <dgm:pt modelId="{0FBC5342-9D26-45E5-AAFE-901CDCCC2F12}">
      <dgm:prSet phldrT="[Texto]"/>
      <dgm:spPr/>
      <dgm:t>
        <a:bodyPr/>
        <a:lstStyle/>
        <a:p>
          <a:r>
            <a:rPr lang="es-ES" dirty="0"/>
            <a:t>Cada universidad recoge máximo 30 ofertas</a:t>
          </a:r>
        </a:p>
      </dgm:t>
    </dgm:pt>
    <dgm:pt modelId="{6ABF67C8-8FA4-4A88-B042-77C0A8E60560}" type="parTrans" cxnId="{12C4BC56-3056-4E80-BF9A-197771C489CC}">
      <dgm:prSet/>
      <dgm:spPr/>
      <dgm:t>
        <a:bodyPr/>
        <a:lstStyle/>
        <a:p>
          <a:endParaRPr lang="es-ES"/>
        </a:p>
      </dgm:t>
    </dgm:pt>
    <dgm:pt modelId="{6A2B761A-0173-4B49-BEEF-93BC2A32F133}" type="sibTrans" cxnId="{12C4BC56-3056-4E80-BF9A-197771C489CC}">
      <dgm:prSet/>
      <dgm:spPr/>
      <dgm:t>
        <a:bodyPr/>
        <a:lstStyle/>
        <a:p>
          <a:endParaRPr lang="es-ES"/>
        </a:p>
      </dgm:t>
    </dgm:pt>
    <dgm:pt modelId="{216B7653-4D60-4516-B433-0031B5CE1B18}">
      <dgm:prSet phldrT="[Texto]"/>
      <dgm:spPr/>
      <dgm:t>
        <a:bodyPr/>
        <a:lstStyle/>
        <a:p>
          <a:r>
            <a:rPr lang="es-ES" dirty="0"/>
            <a:t>El estudiantado se inscribe eligiendo un máximo de 8 ofertas.</a:t>
          </a:r>
        </a:p>
      </dgm:t>
    </dgm:pt>
    <dgm:pt modelId="{497390A0-B5F2-40A9-B97D-B91450BE139B}" type="parTrans" cxnId="{FFEFD218-D035-4E41-B1B7-343948AC5567}">
      <dgm:prSet/>
      <dgm:spPr/>
      <dgm:t>
        <a:bodyPr/>
        <a:lstStyle/>
        <a:p>
          <a:endParaRPr lang="es-ES"/>
        </a:p>
      </dgm:t>
    </dgm:pt>
    <dgm:pt modelId="{DEA3F4DC-423E-48CD-8D47-CD1907B2401B}" type="sibTrans" cxnId="{FFEFD218-D035-4E41-B1B7-343948AC5567}">
      <dgm:prSet/>
      <dgm:spPr/>
      <dgm:t>
        <a:bodyPr/>
        <a:lstStyle/>
        <a:p>
          <a:endParaRPr lang="es-ES"/>
        </a:p>
      </dgm:t>
    </dgm:pt>
    <dgm:pt modelId="{6AD26EB9-C63A-4BFF-835E-2D0C4CBEEF8A}">
      <dgm:prSet phldrT="[Texto]"/>
      <dgm:spPr/>
      <dgm:t>
        <a:bodyPr/>
        <a:lstStyle/>
        <a:p>
          <a:r>
            <a:rPr lang="es-ES" dirty="0"/>
            <a:t>La universidad escoge un máximo de 12 estudiantes (6 ciencias+ 6 letras)</a:t>
          </a:r>
        </a:p>
        <a:p>
          <a:r>
            <a:rPr lang="es-ES" dirty="0"/>
            <a:t>Bolsa de reserva general de 10 estudiantes</a:t>
          </a:r>
        </a:p>
      </dgm:t>
    </dgm:pt>
    <dgm:pt modelId="{31E242AC-1406-4833-B9A4-858E6972A5E2}" type="parTrans" cxnId="{E10D2263-E8C2-4CDF-B0F1-F0811CF1B849}">
      <dgm:prSet/>
      <dgm:spPr/>
      <dgm:t>
        <a:bodyPr/>
        <a:lstStyle/>
        <a:p>
          <a:endParaRPr lang="es-ES"/>
        </a:p>
      </dgm:t>
    </dgm:pt>
    <dgm:pt modelId="{51DD4F78-1E54-41F3-99AD-1A54A63BEFA1}" type="sibTrans" cxnId="{E10D2263-E8C2-4CDF-B0F1-F0811CF1B849}">
      <dgm:prSet/>
      <dgm:spPr/>
      <dgm:t>
        <a:bodyPr/>
        <a:lstStyle/>
        <a:p>
          <a:endParaRPr lang="es-ES"/>
        </a:p>
      </dgm:t>
    </dgm:pt>
    <dgm:pt modelId="{FE3EC800-CCF0-444B-835D-8E844D4D1D98}">
      <dgm:prSet phldrT="[Texto]"/>
      <dgm:spPr/>
      <dgm:t>
        <a:bodyPr/>
        <a:lstStyle/>
        <a:p>
          <a:r>
            <a:rPr lang="es-ES" dirty="0"/>
            <a:t>La universidad hace resolución de la concesión provisional.</a:t>
          </a:r>
        </a:p>
        <a:p>
          <a:endParaRPr lang="es-ES" dirty="0"/>
        </a:p>
        <a:p>
          <a:r>
            <a:rPr lang="es-ES" dirty="0"/>
            <a:t>72h para aceptación por parte estudiantado</a:t>
          </a:r>
        </a:p>
      </dgm:t>
    </dgm:pt>
    <dgm:pt modelId="{2328B396-7926-4C90-B987-7B2ED3C76348}" type="parTrans" cxnId="{17B9ED4E-032C-465A-AA27-FCF8C0765C5C}">
      <dgm:prSet/>
      <dgm:spPr/>
      <dgm:t>
        <a:bodyPr/>
        <a:lstStyle/>
        <a:p>
          <a:endParaRPr lang="es-ES"/>
        </a:p>
      </dgm:t>
    </dgm:pt>
    <dgm:pt modelId="{81A49DF0-BE92-4854-A723-0432EF4B4A46}" type="sibTrans" cxnId="{17B9ED4E-032C-465A-AA27-FCF8C0765C5C}">
      <dgm:prSet/>
      <dgm:spPr/>
      <dgm:t>
        <a:bodyPr/>
        <a:lstStyle/>
        <a:p>
          <a:endParaRPr lang="es-ES"/>
        </a:p>
      </dgm:t>
    </dgm:pt>
    <dgm:pt modelId="{4E60360B-6CEA-41FF-936E-18B06C588D52}">
      <dgm:prSet phldrT="[Texto]"/>
      <dgm:spPr/>
      <dgm:t>
        <a:bodyPr/>
        <a:lstStyle/>
        <a:p>
          <a:r>
            <a:rPr lang="es-ES" dirty="0"/>
            <a:t>Si hay renuncias se tira del listado</a:t>
          </a:r>
        </a:p>
        <a:p>
          <a:endParaRPr lang="es-ES" dirty="0"/>
        </a:p>
        <a:p>
          <a:r>
            <a:rPr lang="es-ES" dirty="0"/>
            <a:t>Si faltan estudiantes: bolsa de estudiantes</a:t>
          </a:r>
        </a:p>
        <a:p>
          <a:endParaRPr lang="es-ES" dirty="0"/>
        </a:p>
      </dgm:t>
    </dgm:pt>
    <dgm:pt modelId="{3014EAF7-31E4-4377-B04B-B87388EFD873}" type="parTrans" cxnId="{573FD1F7-51F9-4F04-A8BB-E308CE15114E}">
      <dgm:prSet/>
      <dgm:spPr/>
      <dgm:t>
        <a:bodyPr/>
        <a:lstStyle/>
        <a:p>
          <a:endParaRPr lang="es-ES"/>
        </a:p>
      </dgm:t>
    </dgm:pt>
    <dgm:pt modelId="{5A04901C-79A0-458B-81D1-DE216F716EE4}" type="sibTrans" cxnId="{573FD1F7-51F9-4F04-A8BB-E308CE15114E}">
      <dgm:prSet/>
      <dgm:spPr/>
      <dgm:t>
        <a:bodyPr/>
        <a:lstStyle/>
        <a:p>
          <a:endParaRPr lang="es-ES"/>
        </a:p>
      </dgm:t>
    </dgm:pt>
    <dgm:pt modelId="{9D7C1DA9-D9C9-4192-BBF8-F7FF980AB7BF}" type="pres">
      <dgm:prSet presAssocID="{59E11F5D-5504-4B16-AD16-93CA54B079BE}" presName="CompostProcess" presStyleCnt="0">
        <dgm:presLayoutVars>
          <dgm:dir/>
          <dgm:resizeHandles val="exact"/>
        </dgm:presLayoutVars>
      </dgm:prSet>
      <dgm:spPr/>
    </dgm:pt>
    <dgm:pt modelId="{90B4A69D-40D0-4021-B759-2D78C4BF2D62}" type="pres">
      <dgm:prSet presAssocID="{59E11F5D-5504-4B16-AD16-93CA54B079BE}" presName="arrow" presStyleLbl="bgShp" presStyleIdx="0" presStyleCnt="1" custLinFactNeighborY="276"/>
      <dgm:spPr/>
    </dgm:pt>
    <dgm:pt modelId="{F0DF6407-9A9F-49F5-ABA2-BFD5DE265631}" type="pres">
      <dgm:prSet presAssocID="{59E11F5D-5504-4B16-AD16-93CA54B079BE}" presName="linearProcess" presStyleCnt="0"/>
      <dgm:spPr/>
    </dgm:pt>
    <dgm:pt modelId="{C786CD96-3874-4FCC-8D37-FE26EEDDC94C}" type="pres">
      <dgm:prSet presAssocID="{0FBC5342-9D26-45E5-AAFE-901CDCCC2F12}" presName="tex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F95CFEC-81C2-450E-9143-E0555F1A0745}" type="pres">
      <dgm:prSet presAssocID="{6A2B761A-0173-4B49-BEEF-93BC2A32F133}" presName="sibTrans" presStyleCnt="0"/>
      <dgm:spPr/>
    </dgm:pt>
    <dgm:pt modelId="{AA25D0A8-529D-4692-8B28-0DF3E86F8F31}" type="pres">
      <dgm:prSet presAssocID="{216B7653-4D60-4516-B433-0031B5CE1B18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D3A664D-2204-4060-9B74-A838DBF98A7D}" type="pres">
      <dgm:prSet presAssocID="{DEA3F4DC-423E-48CD-8D47-CD1907B2401B}" presName="sibTrans" presStyleCnt="0"/>
      <dgm:spPr/>
    </dgm:pt>
    <dgm:pt modelId="{E1C55F18-D96F-416A-98B9-4BFB35F901D9}" type="pres">
      <dgm:prSet presAssocID="{6AD26EB9-C63A-4BFF-835E-2D0C4CBEEF8A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00AFEE8-268A-4A8F-8CFE-21499665B187}" type="pres">
      <dgm:prSet presAssocID="{51DD4F78-1E54-41F3-99AD-1A54A63BEFA1}" presName="sibTrans" presStyleCnt="0"/>
      <dgm:spPr/>
    </dgm:pt>
    <dgm:pt modelId="{082BB702-18BA-452F-BD31-2F0DB028B74E}" type="pres">
      <dgm:prSet presAssocID="{FE3EC800-CCF0-444B-835D-8E844D4D1D98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330FFD0-2EFA-4817-B310-ECC2CAEF23D6}" type="pres">
      <dgm:prSet presAssocID="{81A49DF0-BE92-4854-A723-0432EF4B4A46}" presName="sibTrans" presStyleCnt="0"/>
      <dgm:spPr/>
    </dgm:pt>
    <dgm:pt modelId="{089A79BC-EBB1-4162-A0A1-CEADB0DA2BA4}" type="pres">
      <dgm:prSet presAssocID="{4E60360B-6CEA-41FF-936E-18B06C588D52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16F677CF-FA39-4561-BB76-4ABB487240CB}" type="presOf" srcId="{59E11F5D-5504-4B16-AD16-93CA54B079BE}" destId="{9D7C1DA9-D9C9-4192-BBF8-F7FF980AB7BF}" srcOrd="0" destOrd="0" presId="urn:microsoft.com/office/officeart/2005/8/layout/hProcess9"/>
    <dgm:cxn modelId="{DA6E0ECD-061D-401F-9AA6-E37E4295C405}" type="presOf" srcId="{FE3EC800-CCF0-444B-835D-8E844D4D1D98}" destId="{082BB702-18BA-452F-BD31-2F0DB028B74E}" srcOrd="0" destOrd="0" presId="urn:microsoft.com/office/officeart/2005/8/layout/hProcess9"/>
    <dgm:cxn modelId="{E10D2263-E8C2-4CDF-B0F1-F0811CF1B849}" srcId="{59E11F5D-5504-4B16-AD16-93CA54B079BE}" destId="{6AD26EB9-C63A-4BFF-835E-2D0C4CBEEF8A}" srcOrd="2" destOrd="0" parTransId="{31E242AC-1406-4833-B9A4-858E6972A5E2}" sibTransId="{51DD4F78-1E54-41F3-99AD-1A54A63BEFA1}"/>
    <dgm:cxn modelId="{40ACA94F-96D4-44EF-9D3C-6CB07830D692}" type="presOf" srcId="{4E60360B-6CEA-41FF-936E-18B06C588D52}" destId="{089A79BC-EBB1-4162-A0A1-CEADB0DA2BA4}" srcOrd="0" destOrd="0" presId="urn:microsoft.com/office/officeart/2005/8/layout/hProcess9"/>
    <dgm:cxn modelId="{E9B81CCA-CBAB-4B59-A111-D4084BC64CC0}" type="presOf" srcId="{0FBC5342-9D26-45E5-AAFE-901CDCCC2F12}" destId="{C786CD96-3874-4FCC-8D37-FE26EEDDC94C}" srcOrd="0" destOrd="0" presId="urn:microsoft.com/office/officeart/2005/8/layout/hProcess9"/>
    <dgm:cxn modelId="{17B9ED4E-032C-465A-AA27-FCF8C0765C5C}" srcId="{59E11F5D-5504-4B16-AD16-93CA54B079BE}" destId="{FE3EC800-CCF0-444B-835D-8E844D4D1D98}" srcOrd="3" destOrd="0" parTransId="{2328B396-7926-4C90-B987-7B2ED3C76348}" sibTransId="{81A49DF0-BE92-4854-A723-0432EF4B4A46}"/>
    <dgm:cxn modelId="{FFEFD218-D035-4E41-B1B7-343948AC5567}" srcId="{59E11F5D-5504-4B16-AD16-93CA54B079BE}" destId="{216B7653-4D60-4516-B433-0031B5CE1B18}" srcOrd="1" destOrd="0" parTransId="{497390A0-B5F2-40A9-B97D-B91450BE139B}" sibTransId="{DEA3F4DC-423E-48CD-8D47-CD1907B2401B}"/>
    <dgm:cxn modelId="{D9FE5C96-9534-4CC4-83A2-5E96CBB3ACD1}" type="presOf" srcId="{216B7653-4D60-4516-B433-0031B5CE1B18}" destId="{AA25D0A8-529D-4692-8B28-0DF3E86F8F31}" srcOrd="0" destOrd="0" presId="urn:microsoft.com/office/officeart/2005/8/layout/hProcess9"/>
    <dgm:cxn modelId="{12C4BC56-3056-4E80-BF9A-197771C489CC}" srcId="{59E11F5D-5504-4B16-AD16-93CA54B079BE}" destId="{0FBC5342-9D26-45E5-AAFE-901CDCCC2F12}" srcOrd="0" destOrd="0" parTransId="{6ABF67C8-8FA4-4A88-B042-77C0A8E60560}" sibTransId="{6A2B761A-0173-4B49-BEEF-93BC2A32F133}"/>
    <dgm:cxn modelId="{573FD1F7-51F9-4F04-A8BB-E308CE15114E}" srcId="{59E11F5D-5504-4B16-AD16-93CA54B079BE}" destId="{4E60360B-6CEA-41FF-936E-18B06C588D52}" srcOrd="4" destOrd="0" parTransId="{3014EAF7-31E4-4377-B04B-B87388EFD873}" sibTransId="{5A04901C-79A0-458B-81D1-DE216F716EE4}"/>
    <dgm:cxn modelId="{CAEA850C-CAC3-4CED-AA0D-918004476485}" type="presOf" srcId="{6AD26EB9-C63A-4BFF-835E-2D0C4CBEEF8A}" destId="{E1C55F18-D96F-416A-98B9-4BFB35F901D9}" srcOrd="0" destOrd="0" presId="urn:microsoft.com/office/officeart/2005/8/layout/hProcess9"/>
    <dgm:cxn modelId="{A598539F-BDB4-4EEB-B8C1-88A3BC8F5B6A}" type="presParOf" srcId="{9D7C1DA9-D9C9-4192-BBF8-F7FF980AB7BF}" destId="{90B4A69D-40D0-4021-B759-2D78C4BF2D62}" srcOrd="0" destOrd="0" presId="urn:microsoft.com/office/officeart/2005/8/layout/hProcess9"/>
    <dgm:cxn modelId="{1DC1F63F-6633-4553-A93F-1559E12BC38B}" type="presParOf" srcId="{9D7C1DA9-D9C9-4192-BBF8-F7FF980AB7BF}" destId="{F0DF6407-9A9F-49F5-ABA2-BFD5DE265631}" srcOrd="1" destOrd="0" presId="urn:microsoft.com/office/officeart/2005/8/layout/hProcess9"/>
    <dgm:cxn modelId="{7BEC7467-1427-47A2-9055-43D05C28732D}" type="presParOf" srcId="{F0DF6407-9A9F-49F5-ABA2-BFD5DE265631}" destId="{C786CD96-3874-4FCC-8D37-FE26EEDDC94C}" srcOrd="0" destOrd="0" presId="urn:microsoft.com/office/officeart/2005/8/layout/hProcess9"/>
    <dgm:cxn modelId="{16ED6520-D3D7-4E08-BAE1-43263C222C6D}" type="presParOf" srcId="{F0DF6407-9A9F-49F5-ABA2-BFD5DE265631}" destId="{BF95CFEC-81C2-450E-9143-E0555F1A0745}" srcOrd="1" destOrd="0" presId="urn:microsoft.com/office/officeart/2005/8/layout/hProcess9"/>
    <dgm:cxn modelId="{87F993BA-45C8-4E91-98E2-291A512F2F7E}" type="presParOf" srcId="{F0DF6407-9A9F-49F5-ABA2-BFD5DE265631}" destId="{AA25D0A8-529D-4692-8B28-0DF3E86F8F31}" srcOrd="2" destOrd="0" presId="urn:microsoft.com/office/officeart/2005/8/layout/hProcess9"/>
    <dgm:cxn modelId="{29D123D2-B304-4585-A7FD-5A9A77BCE7C6}" type="presParOf" srcId="{F0DF6407-9A9F-49F5-ABA2-BFD5DE265631}" destId="{FD3A664D-2204-4060-9B74-A838DBF98A7D}" srcOrd="3" destOrd="0" presId="urn:microsoft.com/office/officeart/2005/8/layout/hProcess9"/>
    <dgm:cxn modelId="{B54AD94C-D187-4B9D-B8A9-4CAE555331A3}" type="presParOf" srcId="{F0DF6407-9A9F-49F5-ABA2-BFD5DE265631}" destId="{E1C55F18-D96F-416A-98B9-4BFB35F901D9}" srcOrd="4" destOrd="0" presId="urn:microsoft.com/office/officeart/2005/8/layout/hProcess9"/>
    <dgm:cxn modelId="{B2D9D5A9-8D93-4776-83AD-0BF56A7E55C1}" type="presParOf" srcId="{F0DF6407-9A9F-49F5-ABA2-BFD5DE265631}" destId="{100AFEE8-268A-4A8F-8CFE-21499665B187}" srcOrd="5" destOrd="0" presId="urn:microsoft.com/office/officeart/2005/8/layout/hProcess9"/>
    <dgm:cxn modelId="{2328DD99-2A62-4201-906F-6887055F6625}" type="presParOf" srcId="{F0DF6407-9A9F-49F5-ABA2-BFD5DE265631}" destId="{082BB702-18BA-452F-BD31-2F0DB028B74E}" srcOrd="6" destOrd="0" presId="urn:microsoft.com/office/officeart/2005/8/layout/hProcess9"/>
    <dgm:cxn modelId="{4304B124-26F2-4726-9064-2FE4D1A12BDC}" type="presParOf" srcId="{F0DF6407-9A9F-49F5-ABA2-BFD5DE265631}" destId="{8330FFD0-2EFA-4817-B310-ECC2CAEF23D6}" srcOrd="7" destOrd="0" presId="urn:microsoft.com/office/officeart/2005/8/layout/hProcess9"/>
    <dgm:cxn modelId="{A40D4508-BB49-4391-832D-AAF765FB1C71}" type="presParOf" srcId="{F0DF6407-9A9F-49F5-ABA2-BFD5DE265631}" destId="{089A79BC-EBB1-4162-A0A1-CEADB0DA2BA4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B4A69D-40D0-4021-B759-2D78C4BF2D62}">
      <dsp:nvSpPr>
        <dsp:cNvPr id="0" name=""/>
        <dsp:cNvSpPr/>
      </dsp:nvSpPr>
      <dsp:spPr>
        <a:xfrm>
          <a:off x="405002" y="0"/>
          <a:ext cx="4590034" cy="2977515"/>
        </a:xfrm>
        <a:prstGeom prst="rightArrow">
          <a:avLst/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786CD96-3874-4FCC-8D37-FE26EEDDC94C}">
      <dsp:nvSpPr>
        <dsp:cNvPr id="0" name=""/>
        <dsp:cNvSpPr/>
      </dsp:nvSpPr>
      <dsp:spPr>
        <a:xfrm>
          <a:off x="2373" y="893254"/>
          <a:ext cx="1037556" cy="1191006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/>
            <a:t>Cada universidad recoge máximo 30 ofertas</a:t>
          </a:r>
        </a:p>
      </dsp:txBody>
      <dsp:txXfrm>
        <a:off x="53022" y="943903"/>
        <a:ext cx="936258" cy="1089708"/>
      </dsp:txXfrm>
    </dsp:sp>
    <dsp:sp modelId="{AA25D0A8-529D-4692-8B28-0DF3E86F8F31}">
      <dsp:nvSpPr>
        <dsp:cNvPr id="0" name=""/>
        <dsp:cNvSpPr/>
      </dsp:nvSpPr>
      <dsp:spPr>
        <a:xfrm>
          <a:off x="1091807" y="893254"/>
          <a:ext cx="1037556" cy="1191006"/>
        </a:xfrm>
        <a:prstGeom prst="roundRect">
          <a:avLst/>
        </a:prstGeom>
        <a:solidFill>
          <a:schemeClr val="accent3">
            <a:hueOff val="677650"/>
            <a:satOff val="25000"/>
            <a:lumOff val="-367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/>
            <a:t>El estudiantado se inscribe eligiendo un máximo de 8 ofertas.</a:t>
          </a:r>
        </a:p>
      </dsp:txBody>
      <dsp:txXfrm>
        <a:off x="1142456" y="943903"/>
        <a:ext cx="936258" cy="1089708"/>
      </dsp:txXfrm>
    </dsp:sp>
    <dsp:sp modelId="{E1C55F18-D96F-416A-98B9-4BFB35F901D9}">
      <dsp:nvSpPr>
        <dsp:cNvPr id="0" name=""/>
        <dsp:cNvSpPr/>
      </dsp:nvSpPr>
      <dsp:spPr>
        <a:xfrm>
          <a:off x="2181241" y="893254"/>
          <a:ext cx="1037556" cy="1191006"/>
        </a:xfrm>
        <a:prstGeom prst="roundRect">
          <a:avLst/>
        </a:prstGeom>
        <a:solidFill>
          <a:schemeClr val="accent3">
            <a:hueOff val="1355300"/>
            <a:satOff val="50000"/>
            <a:lumOff val="-73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/>
            <a:t>La universidad escoge un máximo de 12 estudiantes (6 ciencias+ 6 letras)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/>
            <a:t>Bolsa de reserva general de 10 estudiantes</a:t>
          </a:r>
        </a:p>
      </dsp:txBody>
      <dsp:txXfrm>
        <a:off x="2231890" y="943903"/>
        <a:ext cx="936258" cy="1089708"/>
      </dsp:txXfrm>
    </dsp:sp>
    <dsp:sp modelId="{082BB702-18BA-452F-BD31-2F0DB028B74E}">
      <dsp:nvSpPr>
        <dsp:cNvPr id="0" name=""/>
        <dsp:cNvSpPr/>
      </dsp:nvSpPr>
      <dsp:spPr>
        <a:xfrm>
          <a:off x="3270676" y="893254"/>
          <a:ext cx="1037556" cy="1191006"/>
        </a:xfrm>
        <a:prstGeom prst="roundRect">
          <a:avLst/>
        </a:prstGeom>
        <a:solidFill>
          <a:schemeClr val="accent3">
            <a:hueOff val="2032949"/>
            <a:satOff val="75000"/>
            <a:lumOff val="-1102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/>
            <a:t>La universidad hace resolución de la concesión provisional.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 dirty="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/>
            <a:t>72h para aceptación por parte estudiantado</a:t>
          </a:r>
        </a:p>
      </dsp:txBody>
      <dsp:txXfrm>
        <a:off x="3321325" y="943903"/>
        <a:ext cx="936258" cy="1089708"/>
      </dsp:txXfrm>
    </dsp:sp>
    <dsp:sp modelId="{089A79BC-EBB1-4162-A0A1-CEADB0DA2BA4}">
      <dsp:nvSpPr>
        <dsp:cNvPr id="0" name=""/>
        <dsp:cNvSpPr/>
      </dsp:nvSpPr>
      <dsp:spPr>
        <a:xfrm>
          <a:off x="4360110" y="893254"/>
          <a:ext cx="1037556" cy="1191006"/>
        </a:xfrm>
        <a:prstGeom prst="roundRect">
          <a:avLst/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/>
            <a:t>Si hay renuncias se tira del listado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 dirty="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/>
            <a:t>Si faltan estudiantes: bolsa de estudiantes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 dirty="0"/>
        </a:p>
      </dsp:txBody>
      <dsp:txXfrm>
        <a:off x="4410759" y="943903"/>
        <a:ext cx="936258" cy="10897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GS</cp:lastModifiedBy>
  <cp:revision>4</cp:revision>
  <dcterms:created xsi:type="dcterms:W3CDTF">2022-02-16T22:44:00Z</dcterms:created>
  <dcterms:modified xsi:type="dcterms:W3CDTF">2022-02-16T23:41:00Z</dcterms:modified>
</cp:coreProperties>
</file>